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jc w:val="center"/>
        <w:rPr>
          <w:rFonts w:ascii="Times New Roman" w:hAnsi="Times New Roman" w:eastAsia="方正小标宋简体"/>
          <w:sz w:val="48"/>
          <w:szCs w:val="48"/>
          <w:lang w:val="zh-CN"/>
        </w:rPr>
      </w:pPr>
      <w:r>
        <w:rPr>
          <w:rFonts w:ascii="Times New Roman" w:hAnsi="Times New Roman" w:eastAsia="方正小标宋简体"/>
          <w:sz w:val="48"/>
          <w:szCs w:val="48"/>
          <w:lang w:val="zh-CN"/>
        </w:rPr>
        <w:t>天津市滨海新区杭州道街社区卫生服务</w:t>
      </w:r>
    </w:p>
    <w:p>
      <w:pPr>
        <w:jc w:val="center"/>
        <w:rPr>
          <w:rFonts w:ascii="Times New Roman" w:hAnsi="Times New Roman" w:eastAsia="方正小标宋简体"/>
          <w:sz w:val="48"/>
          <w:szCs w:val="48"/>
          <w:lang w:val="zh-CN"/>
        </w:rPr>
      </w:pPr>
      <w:r>
        <w:rPr>
          <w:rFonts w:ascii="Times New Roman" w:hAnsi="Times New Roman" w:eastAsia="方正小标宋简体"/>
          <w:sz w:val="48"/>
          <w:szCs w:val="48"/>
          <w:lang w:val="zh-CN"/>
        </w:rPr>
        <w:t>中心2022年度部门决算</w:t>
      </w:r>
    </w:p>
    <w:p>
      <w:pPr>
        <w:spacing w:line="580" w:lineRule="exact"/>
        <w:jc w:val="center"/>
        <w:rPr>
          <w:rFonts w:ascii="Times New Roman" w:hAnsi="Times New Roman"/>
          <w:kern w:val="2"/>
          <w:sz w:val="30"/>
          <w:szCs w:val="30"/>
        </w:rPr>
      </w:pPr>
    </w:p>
    <w:p>
      <w:pPr>
        <w:spacing w:line="580" w:lineRule="exact"/>
        <w:jc w:val="both"/>
        <w:rPr>
          <w:rFonts w:ascii="Times New Roman" w:hAnsi="Times New Roman"/>
          <w:kern w:val="2"/>
          <w:sz w:val="30"/>
          <w:szCs w:val="30"/>
        </w:rPr>
      </w:pPr>
    </w:p>
    <w:p>
      <w:pPr>
        <w:spacing w:line="580" w:lineRule="exact"/>
        <w:jc w:val="both"/>
        <w:rPr>
          <w:rFonts w:ascii="Times New Roman" w:hAnsi="Times New Roman"/>
          <w:kern w:val="2"/>
          <w:sz w:val="30"/>
          <w:szCs w:val="30"/>
        </w:rPr>
      </w:pPr>
    </w:p>
    <w:p>
      <w:pPr>
        <w:spacing w:line="580" w:lineRule="exact"/>
        <w:jc w:val="both"/>
        <w:rPr>
          <w:rFonts w:ascii="Times New Roman" w:hAnsi="Times New Roman"/>
          <w:kern w:val="2"/>
          <w:sz w:val="30"/>
          <w:szCs w:val="30"/>
        </w:rPr>
      </w:pPr>
    </w:p>
    <w:p>
      <w:pPr>
        <w:spacing w:line="580" w:lineRule="exact"/>
        <w:jc w:val="both"/>
        <w:rPr>
          <w:rFonts w:ascii="Times New Roman" w:hAnsi="Times New Roman"/>
          <w:kern w:val="2"/>
          <w:sz w:val="30"/>
          <w:szCs w:val="30"/>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both"/>
        <w:rPr>
          <w:rFonts w:ascii="Times New Roman" w:hAnsi="Times New Roman"/>
          <w:sz w:val="44"/>
          <w:szCs w:val="44"/>
        </w:rPr>
      </w:pPr>
    </w:p>
    <w:p>
      <w:pPr>
        <w:spacing w:line="600" w:lineRule="exact"/>
        <w:jc w:val="center"/>
        <w:rPr>
          <w:rFonts w:ascii="Times New Roman" w:hAnsi="Times New Roman"/>
          <w:sz w:val="44"/>
          <w:szCs w:val="44"/>
        </w:rPr>
      </w:pPr>
      <w:r>
        <w:rPr>
          <w:rFonts w:ascii="Times New Roman" w:hAnsi="Times New Roman"/>
          <w:sz w:val="44"/>
          <w:szCs w:val="44"/>
        </w:rPr>
        <w:t>目   录</w:t>
      </w:r>
    </w:p>
    <w:p>
      <w:pPr>
        <w:spacing w:line="600" w:lineRule="exact"/>
        <w:jc w:val="both"/>
        <w:rPr>
          <w:rFonts w:ascii="Times New Roman" w:hAnsi="Times New Roman"/>
          <w:sz w:val="30"/>
          <w:szCs w:val="30"/>
        </w:rPr>
      </w:pPr>
    </w:p>
    <w:p>
      <w:pPr>
        <w:tabs>
          <w:tab w:val="right" w:leader="dot" w:pos="8306"/>
        </w:tabs>
        <w:spacing w:line="700" w:lineRule="exact"/>
        <w:jc w:val="both"/>
        <w:rPr>
          <w:rFonts w:ascii="Times New Roman" w:hAnsi="Times New Roman" w:eastAsia="方正小标宋简体"/>
          <w:sz w:val="30"/>
          <w:szCs w:val="30"/>
        </w:rPr>
      </w:pPr>
      <w:r>
        <w:rPr>
          <w:rFonts w:ascii="Times New Roman" w:hAnsi="Times New Roman" w:eastAsia="方正小标宋简体"/>
          <w:sz w:val="30"/>
          <w:szCs w:val="30"/>
        </w:rPr>
        <w:t>第一部分  概 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jc w:val="both"/>
        <w:rPr>
          <w:rFonts w:ascii="Times New Roman" w:hAnsi="Times New Roman" w:eastAsia="方正小标宋简体"/>
          <w:sz w:val="30"/>
          <w:szCs w:val="30"/>
        </w:rPr>
      </w:pPr>
      <w:r>
        <w:rPr>
          <w:rFonts w:ascii="Times New Roman" w:hAnsi="Times New Roman" w:eastAsia="方正小标宋简体"/>
          <w:sz w:val="30"/>
          <w:szCs w:val="30"/>
        </w:rPr>
        <w:t>第二部分  2022年度部门决算表</w:t>
      </w:r>
      <w:r>
        <w:rPr>
          <w:rFonts w:ascii="Times New Roman" w:hAnsi="Times New Roman" w:eastAsia="方正小标宋简体"/>
          <w:sz w:val="30"/>
          <w:szCs w:val="30"/>
        </w:rPr>
        <w:tab/>
      </w:r>
      <w:r>
        <w:rPr>
          <w:rFonts w:ascii="Times New Roman" w:hAnsi="Times New Roman" w:eastAsia="方正小标宋简体"/>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八、政府性基金预算财政拨款收入支出决算表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九、国有资本经营预算财政拨款收入支出决算表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十、一般公共预算财政拨款“三公”经费支出决算表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rPr>
        <w:t>3</w:t>
      </w:r>
    </w:p>
    <w:p>
      <w:pPr>
        <w:tabs>
          <w:tab w:val="right" w:leader="dot" w:pos="8306"/>
        </w:tabs>
        <w:spacing w:line="700" w:lineRule="exact"/>
        <w:jc w:val="both"/>
        <w:rPr>
          <w:rFonts w:ascii="Times New Roman" w:hAnsi="Times New Roman" w:eastAsia="方正小标宋简体"/>
          <w:sz w:val="30"/>
          <w:szCs w:val="30"/>
        </w:rPr>
      </w:pPr>
      <w:r>
        <w:rPr>
          <w:rFonts w:ascii="Times New Roman" w:hAnsi="Times New Roman" w:eastAsia="方正小标宋简体"/>
          <w:sz w:val="30"/>
          <w:szCs w:val="30"/>
        </w:rPr>
        <w:t>第三部分  2022年度部门决算情况说明</w:t>
      </w:r>
      <w:r>
        <w:rPr>
          <w:rFonts w:ascii="Times New Roman" w:hAnsi="Times New Roman" w:eastAsia="方正小标宋简体"/>
          <w:sz w:val="30"/>
          <w:szCs w:val="30"/>
        </w:rPr>
        <w:tab/>
      </w:r>
      <w:r>
        <w:rPr>
          <w:rFonts w:ascii="Times New Roman" w:hAnsi="Times New Roman" w:eastAsia="方正小标宋简体"/>
          <w:sz w:val="30"/>
          <w:szCs w:val="30"/>
        </w:rPr>
        <w:t>4</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七、政府性基金预算财政拨款收支决算情况说明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八、国有资本经营预算财政拨款收支决算情况说明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九、一般公共预算财政拨款“三公”经费支出决算情况说明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十二、国有资产占有使用情况说明</w:t>
      </w:r>
      <w:r>
        <w:rPr>
          <w:rFonts w:ascii="Times New Roman" w:hAnsi="Times New Roman" w:eastAsia="仿宋_GB2312"/>
          <w:sz w:val="30"/>
          <w:szCs w:val="30"/>
        </w:rPr>
        <w:tab/>
      </w:r>
      <w:r>
        <w:rPr>
          <w:rFonts w:ascii="Times New Roman" w:hAnsi="Times New Roman" w:eastAsia="仿宋_GB2312"/>
          <w:sz w:val="30"/>
          <w:szCs w:val="30"/>
        </w:rPr>
        <w:t>9</w:t>
      </w:r>
    </w:p>
    <w:p>
      <w:pPr>
        <w:tabs>
          <w:tab w:val="right" w:leader="dot" w:pos="8306"/>
        </w:tabs>
        <w:spacing w:line="700" w:lineRule="exact"/>
        <w:ind w:left="220"/>
        <w:jc w:val="both"/>
        <w:rPr>
          <w:rFonts w:ascii="Times New Roman" w:hAnsi="Times New Roman" w:eastAsia="仿宋_GB2312"/>
          <w:sz w:val="30"/>
          <w:szCs w:val="30"/>
        </w:rPr>
      </w:pPr>
      <w:r>
        <w:rPr>
          <w:rFonts w:ascii="Times New Roman" w:hAnsi="Times New Roman" w:eastAsia="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t>9</w:t>
      </w:r>
    </w:p>
    <w:p>
      <w:pPr>
        <w:tabs>
          <w:tab w:val="right" w:leader="dot" w:pos="8306"/>
        </w:tabs>
        <w:spacing w:line="700" w:lineRule="exact"/>
        <w:ind w:left="220"/>
        <w:jc w:val="both"/>
        <w:rPr>
          <w:rFonts w:ascii="Times New Roman" w:hAnsi="Times New Roman" w:eastAsia="仿宋_GB2312"/>
          <w:sz w:val="30"/>
          <w:szCs w:val="30"/>
          <w:lang w:val="en"/>
        </w:rPr>
      </w:pPr>
      <w:r>
        <w:rPr>
          <w:rFonts w:ascii="Times New Roman" w:hAnsi="Times New Roman" w:eastAsia="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ascii="Times New Roman" w:hAnsi="Times New Roman" w:eastAsia="仿宋_GB2312"/>
          <w:sz w:val="30"/>
          <w:szCs w:val="30"/>
          <w:lang w:val="en"/>
        </w:rPr>
        <w:t>9</w:t>
      </w:r>
    </w:p>
    <w:p>
      <w:pPr>
        <w:tabs>
          <w:tab w:val="right" w:leader="dot" w:pos="8306"/>
        </w:tabs>
        <w:spacing w:line="700" w:lineRule="exact"/>
        <w:jc w:val="both"/>
        <w:rPr>
          <w:rFonts w:ascii="Times New Roman" w:hAnsi="Times New Roman" w:eastAsia="方正小标宋简体"/>
          <w:sz w:val="30"/>
          <w:szCs w:val="30"/>
          <w:lang w:val="en"/>
        </w:rPr>
      </w:pPr>
      <w:r>
        <w:rPr>
          <w:rFonts w:ascii="Times New Roman" w:hAnsi="Times New Roman" w:eastAsia="方正小标宋简体"/>
          <w:sz w:val="30"/>
          <w:szCs w:val="30"/>
          <w:lang w:val="en"/>
        </w:rPr>
        <w:t>第四部分  名词解释</w:t>
      </w:r>
      <w:r>
        <w:rPr>
          <w:rFonts w:ascii="Times New Roman" w:hAnsi="Times New Roman" w:eastAsia="方正小标宋简体"/>
          <w:sz w:val="30"/>
          <w:szCs w:val="30"/>
          <w:lang w:val="en"/>
        </w:rPr>
        <w:tab/>
      </w:r>
      <w:r>
        <w:rPr>
          <w:rFonts w:ascii="Times New Roman" w:hAnsi="Times New Roman" w:eastAsia="方正小标宋简体"/>
          <w:sz w:val="30"/>
          <w:szCs w:val="30"/>
          <w:lang w:val="en"/>
        </w:rPr>
        <w:t>10</w:t>
      </w:r>
    </w:p>
    <w:p>
      <w:pPr>
        <w:spacing w:line="700" w:lineRule="exact"/>
        <w:jc w:val="both"/>
        <w:rPr>
          <w:rFonts w:ascii="Times New Roman" w:hAnsi="Times New Roman"/>
          <w:kern w:val="2"/>
          <w:sz w:val="30"/>
          <w:szCs w:val="30"/>
          <w:lang w:val="zh-CN"/>
        </w:rPr>
      </w:pPr>
    </w:p>
    <w:p>
      <w:pPr>
        <w:pStyle w:val="2"/>
        <w:keepNext/>
        <w:keepLines/>
        <w:spacing w:line="600" w:lineRule="exact"/>
        <w:jc w:val="both"/>
        <w:rPr>
          <w:rFonts w:ascii="Times New Roman" w:hAnsi="Times New Roman" w:eastAsia="方正小标宋简体"/>
          <w:kern w:val="44"/>
          <w:sz w:val="44"/>
          <w:szCs w:val="44"/>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pPr>
    </w:p>
    <w:p>
      <w:pPr>
        <w:pStyle w:val="2"/>
        <w:keepNext/>
        <w:keepLines/>
        <w:spacing w:line="600" w:lineRule="exact"/>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第一部分  概 况</w:t>
      </w:r>
    </w:p>
    <w:p>
      <w:pPr>
        <w:spacing w:line="600" w:lineRule="exact"/>
        <w:jc w:val="both"/>
        <w:rPr>
          <w:rFonts w:ascii="Times New Roman" w:hAnsi="Times New Roman" w:eastAsia="方正小标宋简体"/>
        </w:rPr>
      </w:pPr>
    </w:p>
    <w:p>
      <w:pPr>
        <w:pStyle w:val="3"/>
        <w:keepNext/>
        <w:keepLines/>
        <w:spacing w:line="600" w:lineRule="exact"/>
        <w:ind w:firstLine="600"/>
        <w:jc w:val="both"/>
        <w:rPr>
          <w:rFonts w:ascii="Times New Roman" w:hAnsi="Times New Roman"/>
          <w:sz w:val="30"/>
          <w:szCs w:val="30"/>
        </w:rPr>
      </w:pPr>
      <w:r>
        <w:rPr>
          <w:rFonts w:ascii="Times New Roman" w:hAnsi="Times New Roman"/>
          <w:sz w:val="30"/>
          <w:szCs w:val="30"/>
        </w:rPr>
        <w:t>一、主要职责</w:t>
      </w:r>
    </w:p>
    <w:p>
      <w:pPr>
        <w:spacing w:line="580" w:lineRule="exact"/>
        <w:ind w:firstLine="600"/>
        <w:jc w:val="both"/>
        <w:rPr>
          <w:rFonts w:ascii="Times New Roman" w:hAnsi="Times New Roman" w:eastAsia="仿宋_GB2312"/>
          <w:sz w:val="30"/>
          <w:szCs w:val="30"/>
          <w:lang w:val="zh-CN"/>
        </w:rPr>
      </w:pPr>
      <w:r>
        <w:rPr>
          <w:rFonts w:ascii="Times New Roman" w:hAnsi="Times New Roman" w:eastAsia="仿宋_GB2312"/>
          <w:sz w:val="30"/>
          <w:szCs w:val="30"/>
          <w:lang w:val="zh-CN"/>
        </w:rPr>
        <w:t>杭州道街社区卫生服务中心是一级社区卫生服务机构，承担疾病预防等公共卫生服务和一般常见病、多发病的基本医疗服务；负责社区预防、保健医疗、康复、健康教育、计划生育等工作。截至2022年12月31日，在职在编职工105人、临时工20人，返聘4人、离休职工1人，退休职工115人、比上年减少3人。</w:t>
      </w:r>
    </w:p>
    <w:p>
      <w:pPr>
        <w:pStyle w:val="3"/>
        <w:keepNext/>
        <w:keepLines/>
        <w:spacing w:line="600" w:lineRule="exact"/>
        <w:ind w:firstLine="600"/>
        <w:jc w:val="both"/>
        <w:rPr>
          <w:rFonts w:ascii="Times New Roman" w:hAnsi="Times New Roman"/>
          <w:sz w:val="30"/>
          <w:szCs w:val="30"/>
        </w:rPr>
      </w:pPr>
      <w:r>
        <w:rPr>
          <w:rFonts w:ascii="Times New Roman" w:hAnsi="Times New Roman"/>
          <w:sz w:val="30"/>
          <w:szCs w:val="30"/>
        </w:rPr>
        <w:t>二、机构设置</w:t>
      </w:r>
    </w:p>
    <w:p>
      <w:pPr>
        <w:spacing w:line="580" w:lineRule="exact"/>
        <w:ind w:firstLine="600"/>
        <w:jc w:val="both"/>
        <w:rPr>
          <w:rFonts w:ascii="Times New Roman" w:hAnsi="Times New Roman" w:eastAsia="仿宋_GB2312"/>
          <w:sz w:val="30"/>
          <w:szCs w:val="30"/>
          <w:lang w:val="zh-CN"/>
        </w:rPr>
      </w:pPr>
      <w:r>
        <w:rPr>
          <w:rFonts w:ascii="Times New Roman" w:hAnsi="Times New Roman" w:eastAsia="仿宋_GB2312"/>
          <w:sz w:val="30"/>
          <w:szCs w:val="30"/>
          <w:lang w:val="zh-CN"/>
        </w:rPr>
        <w:t>天津市滨海新区杭州道街社区卫生服务中心内设8个职能</w:t>
      </w:r>
      <w:r>
        <w:rPr>
          <w:rFonts w:hint="eastAsia" w:ascii="Times New Roman" w:hAnsi="Times New Roman" w:eastAsia="仿宋_GB2312"/>
          <w:sz w:val="30"/>
          <w:szCs w:val="30"/>
          <w:lang w:val="zh-CN" w:eastAsia="zh-CN"/>
        </w:rPr>
        <w:t>科</w:t>
      </w:r>
      <w:r>
        <w:rPr>
          <w:rFonts w:ascii="Times New Roman" w:hAnsi="Times New Roman" w:eastAsia="仿宋_GB2312"/>
          <w:sz w:val="30"/>
          <w:szCs w:val="30"/>
          <w:lang w:val="zh-CN"/>
        </w:rPr>
        <w:t>室。</w:t>
      </w:r>
    </w:p>
    <w:p>
      <w:pPr>
        <w:spacing w:line="580" w:lineRule="exact"/>
        <w:ind w:firstLine="600"/>
        <w:jc w:val="both"/>
        <w:rPr>
          <w:rFonts w:ascii="Times New Roman" w:hAnsi="Times New Roman" w:eastAsia="仿宋_GB2312"/>
          <w:kern w:val="2"/>
          <w:sz w:val="30"/>
          <w:szCs w:val="30"/>
          <w:lang w:val="zh-CN"/>
        </w:rPr>
      </w:pPr>
    </w:p>
    <w:p>
      <w:pPr>
        <w:pStyle w:val="2"/>
        <w:keepNext/>
        <w:keepLines/>
        <w:spacing w:before="340" w:after="330" w:line="600" w:lineRule="exact"/>
        <w:jc w:val="both"/>
        <w:rPr>
          <w:rFonts w:ascii="Times New Roman" w:hAnsi="Times New Roman"/>
          <w:kern w:val="2"/>
          <w:sz w:val="30"/>
          <w:szCs w:val="30"/>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spacing w:line="360" w:lineRule="atLeast"/>
        <w:jc w:val="both"/>
        <w:rPr>
          <w:rFonts w:ascii="Times New Roman" w:hAnsi="Times New Roman"/>
          <w:kern w:val="2"/>
          <w:sz w:val="30"/>
          <w:szCs w:val="30"/>
          <w:lang w:val="zh-CN"/>
        </w:rPr>
      </w:pPr>
    </w:p>
    <w:p>
      <w:pPr>
        <w:pStyle w:val="2"/>
        <w:keepNext/>
        <w:keepLines/>
        <w:spacing w:line="600" w:lineRule="exact"/>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第二部分  2022年度部门决算表</w:t>
      </w:r>
    </w:p>
    <w:p>
      <w:pPr>
        <w:pStyle w:val="3"/>
        <w:keepNext/>
        <w:keepLines/>
        <w:spacing w:line="800" w:lineRule="exact"/>
        <w:ind w:firstLine="600" w:firstLineChars="200"/>
        <w:jc w:val="both"/>
        <w:rPr>
          <w:rFonts w:ascii="Times New Roman" w:hAnsi="Times New Roman"/>
          <w:sz w:val="30"/>
          <w:szCs w:val="30"/>
        </w:rPr>
      </w:pPr>
      <w:r>
        <w:rPr>
          <w:rFonts w:ascii="Times New Roman" w:hAnsi="Times New Roman"/>
          <w:sz w:val="30"/>
          <w:szCs w:val="30"/>
        </w:rPr>
        <w:t>一、《收入支出决算总表》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二、《收入决算表（按功能分类列示）》</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三、《收入决算表（按单位列示）》</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四、《支出决算表》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五、《财政拨款收入支出决算总表》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六、《一般公共预算财政拨款支出决算表》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七、《一般公共预算财政拨款基本支出决算表》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八、《政府性基金预算财政拨款收入支出决算表》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九、《国有资本经营预算财政拨款收入支出决算表》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十、《一般公共预算财政拨款“三公”经费支出决算表》</w:t>
      </w:r>
    </w:p>
    <w:p>
      <w:pPr>
        <w:pStyle w:val="3"/>
        <w:keepNext/>
        <w:keepLines/>
        <w:spacing w:line="800" w:lineRule="exact"/>
        <w:ind w:firstLine="600"/>
        <w:jc w:val="both"/>
        <w:rPr>
          <w:rFonts w:ascii="Times New Roman" w:hAnsi="Times New Roman"/>
          <w:sz w:val="30"/>
          <w:szCs w:val="30"/>
        </w:rPr>
      </w:pPr>
      <w:r>
        <w:rPr>
          <w:rFonts w:ascii="Times New Roman" w:hAnsi="Times New Roman"/>
          <w:sz w:val="30"/>
          <w:szCs w:val="30"/>
        </w:rPr>
        <w:t>十一、《项目支出决算表》</w:t>
      </w:r>
    </w:p>
    <w:p>
      <w:pPr>
        <w:spacing w:line="800" w:lineRule="exact"/>
        <w:jc w:val="both"/>
        <w:rPr>
          <w:rFonts w:ascii="Times New Roman" w:hAnsi="Times New Roman" w:eastAsia="楷体"/>
          <w:sz w:val="30"/>
          <w:szCs w:val="30"/>
        </w:rPr>
      </w:pPr>
      <w:r>
        <w:rPr>
          <w:rFonts w:ascii="Times New Roman" w:hAnsi="Times New Roman" w:eastAsia="楷体"/>
          <w:sz w:val="30"/>
          <w:szCs w:val="30"/>
        </w:rPr>
        <w:t>注：以上决算公开表均作为附表，附于决算公开说明文档后</w:t>
      </w:r>
      <w:r>
        <w:rPr>
          <w:rFonts w:ascii="Times New Roman" w:hAnsi="Times New Roman" w:eastAsia="楷体"/>
        </w:rPr>
        <w:br w:type="page"/>
      </w:r>
      <w:r>
        <w:rPr>
          <w:rFonts w:ascii="Times New Roman" w:hAnsi="Times New Roman" w:eastAsia="楷体"/>
        </w:rPr>
        <w:t xml:space="preserve">    </w:t>
      </w:r>
      <w:r>
        <w:rPr>
          <w:rFonts w:ascii="Times New Roman" w:hAnsi="Times New Roman"/>
          <w:b/>
          <w:bCs/>
          <w:sz w:val="30"/>
          <w:szCs w:val="30"/>
        </w:rPr>
        <w:t>十二、关于空表的说明</w:t>
      </w:r>
    </w:p>
    <w:p>
      <w:pPr>
        <w:spacing w:line="640" w:lineRule="exact"/>
        <w:ind w:firstLine="600"/>
        <w:jc w:val="both"/>
        <w:rPr>
          <w:rFonts w:ascii="Times New Roman" w:hAnsi="Times New Roman" w:eastAsia="仿宋_GB2312"/>
          <w:sz w:val="30"/>
          <w:szCs w:val="30"/>
        </w:rPr>
      </w:pPr>
      <w:r>
        <w:rPr>
          <w:rFonts w:ascii="Times New Roman" w:hAnsi="Times New Roman" w:eastAsia="仿宋_GB2312"/>
          <w:sz w:val="30"/>
          <w:szCs w:val="30"/>
        </w:rPr>
        <w:t>1.天津市杭州道街社区卫生服务中心2022年度政府性基金预算财政拨款收入支出决算表为空表。</w:t>
      </w:r>
    </w:p>
    <w:p>
      <w:pPr>
        <w:spacing w:line="640" w:lineRule="exact"/>
        <w:ind w:firstLine="600"/>
        <w:jc w:val="both"/>
        <w:rPr>
          <w:rFonts w:ascii="Times New Roman" w:hAnsi="Times New Roman" w:eastAsia="仿宋_GB2312"/>
          <w:sz w:val="30"/>
          <w:szCs w:val="30"/>
        </w:rPr>
      </w:pPr>
      <w:r>
        <w:rPr>
          <w:rFonts w:ascii="Times New Roman" w:hAnsi="Times New Roman" w:eastAsia="仿宋_GB2312"/>
          <w:sz w:val="30"/>
          <w:szCs w:val="30"/>
        </w:rPr>
        <w:t>2. 天津市杭州道街社区卫生服务中心2022年度国有资本经营预算财政拨款收入支出决算表为空表。</w:t>
      </w:r>
    </w:p>
    <w:p>
      <w:pPr>
        <w:spacing w:line="640" w:lineRule="exact"/>
        <w:ind w:firstLine="600"/>
        <w:jc w:val="both"/>
        <w:rPr>
          <w:rFonts w:ascii="Times New Roman" w:hAnsi="Times New Roman" w:eastAsia="仿宋_GB2312"/>
          <w:sz w:val="30"/>
          <w:szCs w:val="30"/>
        </w:rPr>
      </w:pPr>
      <w:r>
        <w:rPr>
          <w:rFonts w:ascii="Times New Roman" w:hAnsi="Times New Roman" w:eastAsia="仿宋_GB2312"/>
          <w:sz w:val="30"/>
          <w:szCs w:val="30"/>
        </w:rPr>
        <w:t>3.天津市杭州道街社区卫生服务中心2022年度一般公共预算财政拨款“三公”经费支出决算表为空表。</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pStyle w:val="2"/>
        <w:keepNext/>
        <w:keepLines/>
        <w:spacing w:line="600" w:lineRule="exact"/>
        <w:jc w:val="center"/>
        <w:rPr>
          <w:rFonts w:ascii="Times New Roman" w:hAnsi="Times New Roman" w:eastAsia="方正小标宋简体"/>
          <w:kern w:val="44"/>
          <w:sz w:val="44"/>
          <w:szCs w:val="44"/>
        </w:rPr>
      </w:pPr>
    </w:p>
    <w:p>
      <w:pPr>
        <w:pStyle w:val="2"/>
        <w:keepNext/>
        <w:keepLines/>
        <w:spacing w:line="600" w:lineRule="exact"/>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第三部分  2022年度部门决算情况说明</w:t>
      </w:r>
    </w:p>
    <w:p>
      <w:pPr>
        <w:spacing w:line="580" w:lineRule="exact"/>
        <w:ind w:firstLine="600"/>
        <w:jc w:val="both"/>
        <w:rPr>
          <w:rFonts w:ascii="Times New Roman" w:hAnsi="Times New Roman"/>
          <w:kern w:val="2"/>
          <w:sz w:val="30"/>
          <w:szCs w:val="30"/>
          <w:lang w:val="zh-CN"/>
        </w:rPr>
      </w:pPr>
    </w:p>
    <w:p>
      <w:pPr>
        <w:pStyle w:val="3"/>
        <w:keepNext/>
        <w:keepLines/>
        <w:spacing w:line="600" w:lineRule="exact"/>
        <w:ind w:firstLine="602"/>
        <w:jc w:val="both"/>
        <w:rPr>
          <w:rFonts w:ascii="Times New Roman" w:hAnsi="Times New Roman"/>
          <w:b/>
          <w:bCs/>
          <w:sz w:val="30"/>
          <w:szCs w:val="30"/>
          <w:lang w:val="zh-CN"/>
        </w:rPr>
      </w:pPr>
      <w:r>
        <w:rPr>
          <w:rFonts w:ascii="Times New Roman" w:hAnsi="Times New Roman"/>
          <w:b/>
          <w:bCs/>
          <w:sz w:val="30"/>
          <w:szCs w:val="30"/>
          <w:lang w:val="zh-CN"/>
        </w:rPr>
        <w:t>一、收入支出决算总体情况说明</w:t>
      </w:r>
    </w:p>
    <w:p>
      <w:pPr>
        <w:spacing w:line="580" w:lineRule="exact"/>
        <w:ind w:firstLine="602"/>
        <w:jc w:val="both"/>
        <w:rPr>
          <w:rFonts w:ascii="Times New Roman" w:hAnsi="Times New Roman" w:eastAsia="仿宋_GB2312"/>
          <w:sz w:val="30"/>
          <w:szCs w:val="30"/>
          <w:lang w:val="zh-CN"/>
        </w:rPr>
      </w:pPr>
      <w:r>
        <w:rPr>
          <w:rFonts w:ascii="Times New Roman" w:hAnsi="Times New Roman" w:eastAsia="仿宋_GB2312"/>
          <w:sz w:val="30"/>
          <w:szCs w:val="30"/>
          <w:lang w:val="zh-CN"/>
        </w:rPr>
        <w:t>天津市滨海新区杭州道街社区卫生服务中心2022年度收入、支出决算总计</w:t>
      </w:r>
      <w:r>
        <w:rPr>
          <w:rFonts w:ascii="Times New Roman" w:hAnsi="Times New Roman" w:eastAsia="仿宋_GB2312"/>
          <w:kern w:val="2"/>
          <w:sz w:val="30"/>
          <w:szCs w:val="30"/>
          <w:lang w:val="zh-CN"/>
        </w:rPr>
        <w:t>102,854,703.20</w:t>
      </w:r>
      <w:r>
        <w:rPr>
          <w:rFonts w:ascii="Times New Roman" w:hAnsi="Times New Roman" w:eastAsia="仿宋_GB2312"/>
          <w:sz w:val="30"/>
          <w:szCs w:val="30"/>
        </w:rPr>
        <w:t>元，与2021年度相比，收、支总计各</w:t>
      </w:r>
      <w:r>
        <w:rPr>
          <w:rFonts w:ascii="Times New Roman" w:hAnsi="Times New Roman" w:eastAsia="仿宋_GB2312"/>
          <w:kern w:val="2"/>
          <w:sz w:val="30"/>
          <w:szCs w:val="30"/>
        </w:rPr>
        <w:t>增加2,439,439.75</w:t>
      </w:r>
      <w:r>
        <w:rPr>
          <w:rFonts w:ascii="Times New Roman" w:hAnsi="Times New Roman" w:eastAsia="仿宋_GB2312"/>
          <w:sz w:val="30"/>
          <w:szCs w:val="30"/>
        </w:rPr>
        <w:t>元</w:t>
      </w:r>
      <w:r>
        <w:rPr>
          <w:rFonts w:ascii="Times New Roman" w:hAnsi="Times New Roman" w:eastAsia="仿宋_GB2312"/>
          <w:kern w:val="2"/>
          <w:sz w:val="30"/>
          <w:szCs w:val="30"/>
        </w:rPr>
        <w:t>，增长2.43%，</w:t>
      </w:r>
      <w:r>
        <w:rPr>
          <w:rFonts w:ascii="Times New Roman" w:hAnsi="Times New Roman" w:eastAsia="仿宋_GB2312"/>
          <w:sz w:val="30"/>
          <w:szCs w:val="30"/>
          <w:lang w:val="zh-CN"/>
        </w:rPr>
        <w:t>主要原因是：事业收入增加。</w:t>
      </w:r>
    </w:p>
    <w:p>
      <w:pPr>
        <w:pStyle w:val="3"/>
        <w:keepNext/>
        <w:keepLines/>
        <w:spacing w:line="600" w:lineRule="exact"/>
        <w:ind w:firstLine="602"/>
        <w:jc w:val="both"/>
        <w:rPr>
          <w:rFonts w:ascii="Times New Roman" w:hAnsi="Times New Roman"/>
          <w:b/>
          <w:bCs/>
          <w:sz w:val="30"/>
          <w:szCs w:val="30"/>
          <w:lang w:val="zh-CN"/>
        </w:rPr>
      </w:pPr>
      <w:r>
        <w:rPr>
          <w:rFonts w:ascii="Times New Roman" w:hAnsi="Times New Roman"/>
          <w:b/>
          <w:bCs/>
          <w:sz w:val="30"/>
          <w:szCs w:val="30"/>
          <w:lang w:val="zh-CN"/>
        </w:rPr>
        <w:t>二、</w:t>
      </w:r>
      <w:r>
        <w:rPr>
          <w:rFonts w:ascii="Times New Roman" w:hAnsi="Times New Roman"/>
          <w:b/>
          <w:bCs/>
          <w:sz w:val="30"/>
          <w:szCs w:val="30"/>
        </w:rPr>
        <w:t>收入决算情况</w:t>
      </w:r>
      <w:r>
        <w:rPr>
          <w:rFonts w:ascii="Times New Roman" w:hAnsi="Times New Roman"/>
          <w:b/>
          <w:bCs/>
          <w:sz w:val="30"/>
          <w:szCs w:val="30"/>
          <w:lang w:val="zh-CN"/>
        </w:rPr>
        <w:t>说明</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lang w:val="zh-CN"/>
        </w:rPr>
        <w:t>天津市滨海新区杭州道街社区卫生服务中心2022年度本年收入合计99,875,030.97</w:t>
      </w:r>
      <w:r>
        <w:rPr>
          <w:rFonts w:ascii="Times New Roman" w:hAnsi="Times New Roman" w:eastAsia="仿宋_GB2312"/>
          <w:kern w:val="2"/>
          <w:sz w:val="30"/>
          <w:szCs w:val="30"/>
        </w:rPr>
        <w:t>元，与2021年度相比减少540,232.48元，</w:t>
      </w:r>
      <w:r>
        <w:rPr>
          <w:rFonts w:ascii="Times New Roman" w:hAnsi="Times New Roman" w:eastAsia="仿宋_GB2312"/>
          <w:sz w:val="30"/>
          <w:szCs w:val="30"/>
          <w:lang w:val="zh-CN"/>
        </w:rPr>
        <w:t>主要原因是：事业收入增加</w:t>
      </w:r>
      <w:r>
        <w:rPr>
          <w:rFonts w:ascii="Times New Roman" w:hAnsi="Times New Roman" w:eastAsia="仿宋_GB2312"/>
          <w:kern w:val="2"/>
          <w:sz w:val="30"/>
          <w:szCs w:val="30"/>
          <w:lang w:val="zh-CN"/>
        </w:rPr>
        <w:t>。</w:t>
      </w:r>
      <w:r>
        <w:rPr>
          <w:rFonts w:ascii="Times New Roman" w:hAnsi="Times New Roman" w:eastAsia="仿宋_GB2312"/>
          <w:kern w:val="2"/>
          <w:sz w:val="30"/>
          <w:szCs w:val="30"/>
        </w:rPr>
        <w:t>其中：</w:t>
      </w:r>
      <w:r>
        <w:rPr>
          <w:rFonts w:ascii="Times New Roman" w:hAnsi="Times New Roman" w:eastAsia="仿宋_GB2312"/>
          <w:kern w:val="2"/>
          <w:sz w:val="30"/>
          <w:szCs w:val="30"/>
          <w:lang w:val="zh-CN"/>
        </w:rPr>
        <w:t>一般公共预算财政拨款收入29,304,995.99元，占29.34%；事业收入70,549,785.93元，占70.64%；其他收入20,249.05元，占0.02%。</w:t>
      </w:r>
    </w:p>
    <w:p>
      <w:pPr>
        <w:pStyle w:val="3"/>
        <w:keepNext/>
        <w:keepLines/>
        <w:spacing w:line="600" w:lineRule="exact"/>
        <w:ind w:firstLine="602"/>
        <w:jc w:val="both"/>
        <w:rPr>
          <w:rFonts w:ascii="Times New Roman" w:hAnsi="Times New Roman"/>
          <w:b/>
          <w:bCs/>
          <w:sz w:val="30"/>
          <w:szCs w:val="30"/>
        </w:rPr>
      </w:pPr>
      <w:r>
        <w:rPr>
          <w:rFonts w:ascii="Times New Roman" w:hAnsi="Times New Roman"/>
          <w:b/>
          <w:bCs/>
          <w:sz w:val="30"/>
          <w:szCs w:val="30"/>
          <w:lang w:val="zh-CN"/>
        </w:rPr>
        <w:t>三、支出</w:t>
      </w:r>
      <w:r>
        <w:rPr>
          <w:rFonts w:ascii="Times New Roman" w:hAnsi="Times New Roman"/>
          <w:b/>
          <w:bCs/>
          <w:sz w:val="30"/>
          <w:szCs w:val="30"/>
        </w:rPr>
        <w:t>决算情况说明</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天津市滨海新区杭州道街社区卫生服务中心2022年度本年支出合计98,727,471.02元，与2021年度相比减少1,686,586.38元，</w:t>
      </w:r>
      <w:r>
        <w:rPr>
          <w:rFonts w:ascii="Times New Roman" w:hAnsi="Times New Roman" w:eastAsia="仿宋_GB2312"/>
          <w:kern w:val="2"/>
          <w:sz w:val="30"/>
          <w:szCs w:val="30"/>
          <w:lang w:val="zh-CN"/>
        </w:rPr>
        <w:t>主要原因是：财政拨款支出和商品服务支出均减少。</w:t>
      </w:r>
      <w:r>
        <w:rPr>
          <w:rFonts w:ascii="Times New Roman" w:hAnsi="Times New Roman" w:eastAsia="仿宋_GB2312"/>
          <w:kern w:val="2"/>
          <w:sz w:val="30"/>
          <w:szCs w:val="30"/>
        </w:rPr>
        <w:t>其中：</w:t>
      </w:r>
      <w:r>
        <w:rPr>
          <w:rFonts w:ascii="Times New Roman" w:hAnsi="Times New Roman" w:eastAsia="仿宋_GB2312"/>
          <w:kern w:val="2"/>
          <w:sz w:val="30"/>
          <w:szCs w:val="30"/>
          <w:lang w:val="zh-CN"/>
        </w:rPr>
        <w:t>基本支出88,524,353.86元，占89.67%；项目支出10,203,117.16元，占10.33%。</w:t>
      </w:r>
    </w:p>
    <w:p>
      <w:pPr>
        <w:pStyle w:val="3"/>
        <w:keepNext/>
        <w:keepLines/>
        <w:spacing w:line="600" w:lineRule="exact"/>
        <w:ind w:firstLine="602"/>
        <w:jc w:val="both"/>
        <w:rPr>
          <w:rFonts w:ascii="Times New Roman" w:hAnsi="Times New Roman"/>
          <w:b/>
          <w:bCs/>
          <w:sz w:val="30"/>
          <w:szCs w:val="30"/>
          <w:lang w:val="zh-CN"/>
        </w:rPr>
      </w:pPr>
      <w:r>
        <w:rPr>
          <w:rFonts w:ascii="Times New Roman" w:hAnsi="Times New Roman"/>
          <w:b/>
          <w:bCs/>
          <w:sz w:val="30"/>
          <w:szCs w:val="30"/>
          <w:lang w:val="zh-CN"/>
        </w:rPr>
        <w:t>四、财政拨款收支决算总体情况说明</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天津市滨海新区杭州道街社区卫生服务中心2022年度财政拨款收入、支出决算总计29,304,995.99元，与2021年度相比，财政拨款收、支总计各减少1,299,754.44元，下降4.25%，主要原因是：2022年度公共卫生补助经费减少。</w:t>
      </w:r>
    </w:p>
    <w:p>
      <w:pPr>
        <w:pStyle w:val="3"/>
        <w:keepNext/>
        <w:keepLines/>
        <w:spacing w:line="600" w:lineRule="exact"/>
        <w:ind w:firstLine="602"/>
        <w:jc w:val="both"/>
        <w:rPr>
          <w:rFonts w:ascii="Times New Roman" w:hAnsi="Times New Roman"/>
          <w:b/>
          <w:bCs/>
          <w:sz w:val="30"/>
          <w:szCs w:val="30"/>
        </w:rPr>
      </w:pPr>
      <w:r>
        <w:rPr>
          <w:rFonts w:ascii="Times New Roman" w:hAnsi="Times New Roman"/>
          <w:b/>
          <w:bCs/>
          <w:sz w:val="30"/>
          <w:szCs w:val="30"/>
        </w:rPr>
        <w:t>五、一般公共预算财政拨款支出决算情况说明</w:t>
      </w:r>
    </w:p>
    <w:p>
      <w:pPr>
        <w:spacing w:line="600" w:lineRule="exact"/>
        <w:ind w:left="480"/>
        <w:jc w:val="both"/>
        <w:rPr>
          <w:rFonts w:ascii="Times New Roman" w:hAnsi="Times New Roman" w:eastAsia="楷体"/>
          <w:b/>
          <w:bCs/>
          <w:sz w:val="30"/>
          <w:szCs w:val="30"/>
        </w:rPr>
      </w:pPr>
      <w:r>
        <w:rPr>
          <w:rFonts w:ascii="Times New Roman" w:hAnsi="Times New Roman" w:eastAsia="楷体"/>
          <w:b/>
          <w:bCs/>
          <w:sz w:val="30"/>
          <w:szCs w:val="30"/>
        </w:rPr>
        <w:t>（一）总体情况</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部门决算一般公共预算财政拨款支出合计29,304,995.99元，占本年支出合计的29.68%，与2021年度相比，减少1,299,754.44元，下降4.25%，主要原因是：2022年度公共卫生补助经费减少。</w:t>
      </w:r>
    </w:p>
    <w:p>
      <w:pPr>
        <w:spacing w:line="600" w:lineRule="exact"/>
        <w:ind w:left="480"/>
        <w:jc w:val="both"/>
        <w:rPr>
          <w:rFonts w:ascii="Times New Roman" w:hAnsi="Times New Roman" w:eastAsia="楷体"/>
          <w:b/>
          <w:bCs/>
          <w:sz w:val="30"/>
          <w:szCs w:val="30"/>
        </w:rPr>
      </w:pPr>
      <w:r>
        <w:rPr>
          <w:rFonts w:ascii="Times New Roman" w:hAnsi="Times New Roman" w:eastAsia="楷体"/>
          <w:b/>
          <w:bCs/>
          <w:sz w:val="30"/>
          <w:szCs w:val="30"/>
        </w:rPr>
        <w:t>（二）</w:t>
      </w:r>
      <w:r>
        <w:rPr>
          <w:rFonts w:ascii="Times New Roman" w:hAnsi="Times New Roman" w:eastAsia="楷体"/>
          <w:b/>
          <w:bCs/>
          <w:sz w:val="30"/>
          <w:szCs w:val="30"/>
          <w:lang w:val="zh-CN"/>
        </w:rPr>
        <w:t>支出结构</w:t>
      </w:r>
      <w:r>
        <w:rPr>
          <w:rFonts w:ascii="Times New Roman" w:hAnsi="Times New Roman" w:eastAsia="楷体"/>
          <w:b/>
          <w:bCs/>
          <w:sz w:val="30"/>
          <w:szCs w:val="30"/>
        </w:rPr>
        <w:t>情况</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2022年度一般公共预算财政拨款支出29,304,995.99元，主要用于以下方面：卫生健康支出29,304,995.99元，占100.00%。</w:t>
      </w:r>
    </w:p>
    <w:p>
      <w:pPr>
        <w:spacing w:line="600" w:lineRule="exact"/>
        <w:ind w:left="480"/>
        <w:jc w:val="both"/>
        <w:rPr>
          <w:rFonts w:ascii="Times New Roman" w:hAnsi="Times New Roman" w:eastAsia="楷体"/>
          <w:b/>
          <w:bCs/>
          <w:sz w:val="30"/>
          <w:szCs w:val="30"/>
        </w:rPr>
      </w:pPr>
      <w:r>
        <w:rPr>
          <w:rFonts w:ascii="Times New Roman" w:hAnsi="Times New Roman" w:eastAsia="楷体"/>
          <w:b/>
          <w:bCs/>
          <w:sz w:val="30"/>
          <w:szCs w:val="30"/>
        </w:rPr>
        <w:t>（三）具体情况</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2022年度一般公共预算财政拨款支出年初预算为18,807,800.00元，支出决算为29,304,995.99元，完成年初预算的155.81%。其中：</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1.卫生健康支出（类）基层医疗卫生机构（款）城市社区卫生机构（项）年初预算为18,807,800元，支出决算为19,971,878.83元，完成年初预算的 106.18 %，决算数大于年初预算数的主要原因是年度预算执行中追加的人员经费。</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2.卫生健康支出（类）公共卫生（款）基本公共卫生服务（项）年初预算为0元，追加预算为9,172,063.66，支出决算为9,172,063.66元，完成追加预算的100%，决算数大于年初预算数的主要原因是追加预算用于辖区居民基本公共卫生服务项目。</w:t>
      </w:r>
    </w:p>
    <w:p>
      <w:pPr>
        <w:spacing w:line="580" w:lineRule="exact"/>
        <w:ind w:firstLine="600"/>
        <w:jc w:val="both"/>
        <w:rPr>
          <w:rFonts w:ascii="Times New Roman" w:hAnsi="Times New Roman" w:eastAsia="仿宋_GB2312"/>
          <w:kern w:val="2"/>
          <w:sz w:val="30"/>
          <w:szCs w:val="30"/>
          <w:highlight w:val="none"/>
        </w:rPr>
      </w:pPr>
      <w:r>
        <w:rPr>
          <w:rFonts w:ascii="Times New Roman" w:hAnsi="Times New Roman" w:eastAsia="仿宋_GB2312"/>
          <w:kern w:val="2"/>
          <w:sz w:val="30"/>
          <w:szCs w:val="30"/>
        </w:rPr>
        <w:t>3.卫生健康支出（类）公共卫生（款）重大公共卫生服务（项）年初预算为0元，追加预算为77,394</w:t>
      </w:r>
      <w:r>
        <w:rPr>
          <w:rFonts w:hint="eastAsia" w:ascii="Times New Roman" w:hAnsi="Times New Roman" w:eastAsia="仿宋_GB2312"/>
          <w:kern w:val="2"/>
          <w:sz w:val="30"/>
          <w:szCs w:val="30"/>
          <w:lang w:eastAsia="zh-CN"/>
        </w:rPr>
        <w:t>元</w:t>
      </w:r>
      <w:r>
        <w:rPr>
          <w:rFonts w:ascii="Times New Roman" w:hAnsi="Times New Roman" w:eastAsia="仿宋_GB2312"/>
          <w:kern w:val="2"/>
          <w:sz w:val="30"/>
          <w:szCs w:val="30"/>
        </w:rPr>
        <w:t>,支出决算为77,394元，完成追</w:t>
      </w:r>
      <w:bookmarkStart w:id="0" w:name="_GoBack"/>
      <w:r>
        <w:rPr>
          <w:rFonts w:ascii="Times New Roman" w:hAnsi="Times New Roman" w:eastAsia="仿宋_GB2312"/>
          <w:kern w:val="2"/>
          <w:sz w:val="30"/>
          <w:szCs w:val="30"/>
          <w:highlight w:val="none"/>
        </w:rPr>
        <w:t>加预算的100%，决算数大于年初预算数的主要原因是追加预算用于</w:t>
      </w:r>
      <w:r>
        <w:rPr>
          <w:rFonts w:hint="eastAsia" w:ascii="Times New Roman" w:hAnsi="Times New Roman" w:eastAsia="仿宋_GB2312"/>
          <w:kern w:val="2"/>
          <w:sz w:val="30"/>
          <w:szCs w:val="30"/>
          <w:highlight w:val="none"/>
          <w:lang w:eastAsia="zh-CN"/>
        </w:rPr>
        <w:t>艾滋病防治等</w:t>
      </w:r>
      <w:r>
        <w:rPr>
          <w:rFonts w:ascii="Times New Roman" w:hAnsi="Times New Roman" w:eastAsia="仿宋_GB2312"/>
          <w:kern w:val="2"/>
          <w:sz w:val="30"/>
          <w:szCs w:val="30"/>
          <w:highlight w:val="none"/>
        </w:rPr>
        <w:t>重大公共卫生服务项目。</w:t>
      </w:r>
    </w:p>
    <w:p>
      <w:pPr>
        <w:spacing w:line="580" w:lineRule="exact"/>
        <w:ind w:firstLine="600"/>
        <w:jc w:val="both"/>
        <w:rPr>
          <w:rFonts w:ascii="Times New Roman" w:hAnsi="Times New Roman" w:eastAsia="仿宋_GB2312"/>
          <w:kern w:val="2"/>
          <w:sz w:val="30"/>
          <w:szCs w:val="30"/>
          <w:highlight w:val="none"/>
        </w:rPr>
      </w:pPr>
      <w:r>
        <w:rPr>
          <w:rFonts w:ascii="Times New Roman" w:hAnsi="Times New Roman" w:eastAsia="仿宋_GB2312"/>
          <w:kern w:val="2"/>
          <w:sz w:val="30"/>
          <w:szCs w:val="30"/>
          <w:highlight w:val="none"/>
        </w:rPr>
        <w:t>4.卫生健康支出（类）公共卫生（款）突发公共卫生事件应急处理（项）年初预算为0元，追加预算为454.5元，支出决算为454.5元，完成追加预算的100%，决算数大于年初预算数的主要原因是追加预算用于</w:t>
      </w:r>
      <w:r>
        <w:rPr>
          <w:rFonts w:hint="eastAsia" w:ascii="Times New Roman" w:hAnsi="Times New Roman" w:eastAsia="仿宋_GB2312"/>
          <w:kern w:val="2"/>
          <w:sz w:val="30"/>
          <w:szCs w:val="30"/>
          <w:highlight w:val="none"/>
          <w:lang w:eastAsia="zh-CN"/>
        </w:rPr>
        <w:t>核增一次性绩效</w:t>
      </w:r>
      <w:r>
        <w:rPr>
          <w:rFonts w:ascii="Times New Roman" w:hAnsi="Times New Roman" w:eastAsia="仿宋_GB2312"/>
          <w:kern w:val="2"/>
          <w:sz w:val="30"/>
          <w:szCs w:val="30"/>
          <w:highlight w:val="none"/>
        </w:rPr>
        <w:t>。</w:t>
      </w:r>
    </w:p>
    <w:p>
      <w:pPr>
        <w:spacing w:line="580" w:lineRule="exact"/>
        <w:ind w:firstLine="600"/>
        <w:jc w:val="both"/>
        <w:rPr>
          <w:rFonts w:ascii="Times New Roman" w:hAnsi="Times New Roman" w:eastAsia="仿宋_GB2312"/>
          <w:kern w:val="2"/>
          <w:sz w:val="30"/>
          <w:szCs w:val="30"/>
          <w:highlight w:val="none"/>
        </w:rPr>
      </w:pPr>
      <w:r>
        <w:rPr>
          <w:rFonts w:ascii="Times New Roman" w:hAnsi="Times New Roman" w:eastAsia="仿宋_GB2312"/>
          <w:kern w:val="2"/>
          <w:sz w:val="30"/>
          <w:szCs w:val="30"/>
          <w:highlight w:val="none"/>
        </w:rPr>
        <w:t>5.卫生健康支出（类）公共卫生（款）其他公共卫生支出（项）年初预算为0元，追加预算为83,205元，支出决算为83,205元，完成追加预算的100%，决算数大于年初预算数的主要原因是追加预算用于</w:t>
      </w:r>
      <w:r>
        <w:rPr>
          <w:rFonts w:hint="eastAsia" w:ascii="Times New Roman" w:hAnsi="Times New Roman" w:eastAsia="仿宋_GB2312"/>
          <w:kern w:val="2"/>
          <w:sz w:val="30"/>
          <w:szCs w:val="30"/>
          <w:highlight w:val="none"/>
          <w:lang w:eastAsia="zh-CN"/>
        </w:rPr>
        <w:t>儿童先天性疾病筛查与救助项目</w:t>
      </w:r>
      <w:r>
        <w:rPr>
          <w:rFonts w:ascii="Times New Roman" w:hAnsi="Times New Roman" w:eastAsia="仿宋_GB2312"/>
          <w:kern w:val="2"/>
          <w:sz w:val="30"/>
          <w:szCs w:val="30"/>
          <w:highlight w:val="none"/>
        </w:rPr>
        <w:t>。</w:t>
      </w:r>
    </w:p>
    <w:bookmarkEnd w:id="0"/>
    <w:p>
      <w:pPr>
        <w:pStyle w:val="3"/>
        <w:keepNext/>
        <w:keepLines/>
        <w:spacing w:line="600" w:lineRule="exact"/>
        <w:ind w:firstLine="602"/>
        <w:jc w:val="both"/>
        <w:rPr>
          <w:rFonts w:ascii="Times New Roman" w:hAnsi="Times New Roman"/>
          <w:b/>
          <w:bCs/>
          <w:sz w:val="30"/>
          <w:szCs w:val="30"/>
        </w:rPr>
      </w:pPr>
      <w:r>
        <w:rPr>
          <w:rFonts w:ascii="Times New Roman" w:hAnsi="Times New Roman"/>
          <w:b/>
          <w:bCs/>
          <w:sz w:val="30"/>
          <w:szCs w:val="30"/>
        </w:rPr>
        <w:t>六、一般公共预算财政拨款基本支出决算情况说明</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部门决算一般公共预算财政拨款基本支出合计19,101,878.83元，与2021年度相比减少10,929,516.50元，主要原因是：基本公共卫生服务补助经费在项目支出中列支。其中：人员经费18,503,878.83元，主要包括基本工资、津贴补贴、绩效工资、机关事业单位基本养老保险缴费、职业年金缴费、职工基本医疗保险缴费、其他社会保障缴费、住房公积金、其他工资福利支出、离休费、退休费、抚恤金、生活补助、其他对个人和家庭的补助；公用经费598,000.00元，主要包括物业管理费、工会经费、福利费、其他商品和服务支出。</w:t>
      </w:r>
    </w:p>
    <w:p>
      <w:pPr>
        <w:pStyle w:val="3"/>
        <w:keepNext/>
        <w:keepLines/>
        <w:spacing w:line="600" w:lineRule="exact"/>
        <w:ind w:firstLine="602"/>
        <w:jc w:val="both"/>
        <w:rPr>
          <w:rFonts w:ascii="Times New Roman" w:hAnsi="Times New Roman"/>
          <w:b/>
          <w:bCs/>
          <w:sz w:val="30"/>
          <w:szCs w:val="30"/>
        </w:rPr>
      </w:pPr>
      <w:r>
        <w:rPr>
          <w:rFonts w:ascii="Times New Roman" w:hAnsi="Times New Roman"/>
          <w:b/>
          <w:bCs/>
          <w:sz w:val="30"/>
          <w:szCs w:val="30"/>
        </w:rPr>
        <w:t>七、政府性基金预算财政拨款收支决算情况</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天津市滨海新区杭州道街社区卫生服务中心2022年度无政府性基金预算财政拨款收入、支出和结转结余。</w:t>
      </w:r>
    </w:p>
    <w:p>
      <w:pPr>
        <w:spacing w:line="600" w:lineRule="exact"/>
        <w:ind w:firstLine="600"/>
        <w:jc w:val="both"/>
        <w:rPr>
          <w:rFonts w:ascii="Times New Roman" w:hAnsi="Times New Roman"/>
          <w:b/>
          <w:bCs/>
          <w:sz w:val="30"/>
          <w:szCs w:val="30"/>
        </w:rPr>
      </w:pPr>
      <w:r>
        <w:rPr>
          <w:rFonts w:ascii="Times New Roman" w:hAnsi="Times New Roman"/>
          <w:b/>
          <w:bCs/>
          <w:sz w:val="30"/>
          <w:szCs w:val="30"/>
        </w:rPr>
        <w:t>八、国有资本经营预算财政拨款收支决算情况说明</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天津市滨海新区杭州道街社区卫生服务中心2022年度无国有资本经营预算财政拨款收入、支出和结转结余。</w:t>
      </w:r>
    </w:p>
    <w:p>
      <w:pPr>
        <w:pStyle w:val="3"/>
        <w:keepNext/>
        <w:keepLines/>
        <w:spacing w:line="600" w:lineRule="exact"/>
        <w:ind w:firstLine="602"/>
        <w:jc w:val="both"/>
        <w:rPr>
          <w:rFonts w:ascii="Times New Roman" w:hAnsi="Times New Roman"/>
          <w:b/>
          <w:bCs/>
          <w:sz w:val="32"/>
          <w:szCs w:val="32"/>
        </w:rPr>
      </w:pPr>
      <w:r>
        <w:rPr>
          <w:rFonts w:ascii="Times New Roman" w:hAnsi="Times New Roman"/>
          <w:b/>
          <w:bCs/>
          <w:sz w:val="30"/>
          <w:szCs w:val="30"/>
        </w:rPr>
        <w:t>九、一般公共预算财政拨款“三公”经费支出决算情况</w:t>
      </w:r>
    </w:p>
    <w:p>
      <w:pPr>
        <w:spacing w:line="600" w:lineRule="exact"/>
        <w:ind w:firstLine="602"/>
        <w:jc w:val="both"/>
        <w:rPr>
          <w:rFonts w:ascii="Times New Roman" w:hAnsi="Times New Roman" w:eastAsia="楷体"/>
          <w:b/>
          <w:bCs/>
          <w:sz w:val="30"/>
          <w:szCs w:val="30"/>
        </w:rPr>
      </w:pPr>
      <w:r>
        <w:rPr>
          <w:rFonts w:ascii="Times New Roman" w:hAnsi="Times New Roman" w:eastAsia="楷体"/>
          <w:b/>
          <w:bCs/>
          <w:sz w:val="30"/>
          <w:szCs w:val="30"/>
        </w:rPr>
        <w:t>（一）总体情况</w:t>
      </w:r>
    </w:p>
    <w:p>
      <w:pPr>
        <w:spacing w:line="600" w:lineRule="exact"/>
        <w:ind w:firstLine="602"/>
        <w:jc w:val="both"/>
        <w:rPr>
          <w:rFonts w:ascii="Times New Roman" w:hAnsi="Times New Roman" w:eastAsia="仿宋_GB2312"/>
          <w:sz w:val="30"/>
          <w:szCs w:val="30"/>
        </w:rPr>
      </w:pPr>
      <w:r>
        <w:rPr>
          <w:rFonts w:ascii="Times New Roman" w:hAnsi="Times New Roman" w:eastAsia="仿宋_GB2312"/>
          <w:sz w:val="30"/>
          <w:szCs w:val="30"/>
        </w:rPr>
        <w:t>2022年一般公共预算财政拨款“三公”经费预算0元，支出决算0.00元，与2022年预算相比持平；较上年持平。决算数与预算数持平的主要原因是：本年度未用一般公共预算列支“三公”经费。</w:t>
      </w:r>
    </w:p>
    <w:p>
      <w:pPr>
        <w:spacing w:line="600" w:lineRule="exact"/>
        <w:ind w:firstLine="602"/>
        <w:jc w:val="both"/>
        <w:rPr>
          <w:rFonts w:ascii="Times New Roman" w:hAnsi="Times New Roman" w:eastAsia="楷体"/>
          <w:b/>
          <w:bCs/>
          <w:sz w:val="30"/>
          <w:szCs w:val="30"/>
        </w:rPr>
      </w:pPr>
      <w:r>
        <w:rPr>
          <w:rFonts w:ascii="Times New Roman" w:hAnsi="Times New Roman" w:eastAsia="楷体"/>
          <w:b/>
          <w:bCs/>
          <w:sz w:val="30"/>
          <w:szCs w:val="30"/>
        </w:rPr>
        <w:t>（二）具体情况</w:t>
      </w:r>
    </w:p>
    <w:p>
      <w:pPr>
        <w:spacing w:line="600" w:lineRule="exact"/>
        <w:ind w:firstLine="602"/>
        <w:jc w:val="both"/>
        <w:rPr>
          <w:rFonts w:ascii="Times New Roman" w:hAnsi="Times New Roman" w:eastAsia="仿宋_GB2312"/>
          <w:sz w:val="30"/>
          <w:szCs w:val="30"/>
        </w:rPr>
      </w:pPr>
      <w:r>
        <w:rPr>
          <w:rFonts w:ascii="Times New Roman" w:hAnsi="Times New Roman" w:eastAsia="仿宋_GB2312"/>
          <w:sz w:val="30"/>
          <w:szCs w:val="30"/>
        </w:rPr>
        <w:t>1.因公出国（境）费预算0元，支出决算0.00元，与预算相比持平；较上年持平。决算数与预算数持平的主要原因是：本年度未用一般公共预算列支因公出国（境）费。2022年本单位组织的出国团组0个，出国0人次。</w:t>
      </w:r>
    </w:p>
    <w:p>
      <w:pPr>
        <w:spacing w:line="600" w:lineRule="exact"/>
        <w:ind w:firstLine="602"/>
        <w:jc w:val="both"/>
        <w:rPr>
          <w:rFonts w:ascii="Times New Roman" w:hAnsi="Times New Roman" w:eastAsia="仿宋_GB2312"/>
          <w:sz w:val="30"/>
          <w:szCs w:val="30"/>
        </w:rPr>
      </w:pPr>
      <w:r>
        <w:rPr>
          <w:rFonts w:ascii="Times New Roman" w:hAnsi="Times New Roman" w:eastAsia="仿宋_GB2312"/>
          <w:sz w:val="30"/>
          <w:szCs w:val="30"/>
        </w:rPr>
        <w:t>2.公务用车购置及运行维护费预算0元，支出决算0.00元，与预算相比持平；较上年持平。其中：</w:t>
      </w:r>
    </w:p>
    <w:p>
      <w:pPr>
        <w:spacing w:line="600" w:lineRule="exact"/>
        <w:ind w:firstLine="602"/>
        <w:jc w:val="both"/>
        <w:rPr>
          <w:rFonts w:ascii="Times New Roman" w:hAnsi="Times New Roman" w:eastAsia="仿宋_GB2312"/>
          <w:sz w:val="30"/>
          <w:szCs w:val="30"/>
        </w:rPr>
      </w:pPr>
      <w:r>
        <w:rPr>
          <w:rFonts w:ascii="Times New Roman" w:hAnsi="Times New Roman" w:eastAsia="仿宋_GB2312"/>
          <w:sz w:val="30"/>
          <w:szCs w:val="30"/>
        </w:rPr>
        <w:t>公务用车运行维护费预算0元，支出决算0.00元，与预算相比持平；较上年持平。决算数与预算数持平的主要原因是：本年度未用一般公共预算列支公务用车运行维护费。截至2022年12月31日，使用一般公共预算财政拨款开支运行维护费的公务用车保有量为0辆。</w:t>
      </w:r>
    </w:p>
    <w:p>
      <w:pPr>
        <w:spacing w:line="600" w:lineRule="exact"/>
        <w:ind w:firstLine="602"/>
        <w:jc w:val="both"/>
        <w:rPr>
          <w:rFonts w:ascii="Times New Roman" w:hAnsi="Times New Roman" w:eastAsia="仿宋_GB2312"/>
          <w:sz w:val="30"/>
          <w:szCs w:val="30"/>
        </w:rPr>
      </w:pPr>
      <w:r>
        <w:rPr>
          <w:rFonts w:ascii="Times New Roman" w:hAnsi="Times New Roman" w:eastAsia="仿宋_GB2312"/>
          <w:sz w:val="30"/>
          <w:szCs w:val="30"/>
        </w:rPr>
        <w:t>公务用车购置费预算0元，支出决算0.00元，与预算相比持平；较上年持平。决算数与预算数持平的主要原因是：本年度未用一般公共预算列支公务用车购置费。2022年购置公务用车0辆。</w:t>
      </w:r>
    </w:p>
    <w:p>
      <w:pPr>
        <w:spacing w:line="600" w:lineRule="exact"/>
        <w:ind w:firstLine="602"/>
        <w:jc w:val="both"/>
        <w:rPr>
          <w:rFonts w:ascii="Times New Roman" w:hAnsi="Times New Roman" w:eastAsia="仿宋_GB2312"/>
          <w:sz w:val="30"/>
          <w:szCs w:val="30"/>
        </w:rPr>
      </w:pPr>
      <w:r>
        <w:rPr>
          <w:rFonts w:ascii="Times New Roman" w:hAnsi="Times New Roman" w:eastAsia="仿宋_GB2312"/>
          <w:sz w:val="30"/>
          <w:szCs w:val="30"/>
        </w:rPr>
        <w:t>3.公务接待费预算0元，支出决算0.00元，与预算相比持平；较上年持平。决算数与预算数持平的主要原因是：本年度未用一般公共预算列支公务接待费。2022年本单位国内公务接待0批次，0人次；其中，外事接待0批次，0人次。</w:t>
      </w:r>
    </w:p>
    <w:p>
      <w:pPr>
        <w:pStyle w:val="3"/>
        <w:keepNext/>
        <w:keepLines/>
        <w:spacing w:line="600" w:lineRule="exact"/>
        <w:ind w:firstLine="602" w:firstLineChars="200"/>
        <w:jc w:val="both"/>
        <w:rPr>
          <w:rFonts w:ascii="Times New Roman" w:hAnsi="Times New Roman"/>
          <w:b/>
          <w:bCs/>
          <w:sz w:val="30"/>
          <w:szCs w:val="30"/>
        </w:rPr>
      </w:pPr>
      <w:r>
        <w:rPr>
          <w:rFonts w:ascii="Times New Roman" w:hAnsi="Times New Roman"/>
          <w:b/>
          <w:bCs/>
          <w:sz w:val="30"/>
          <w:szCs w:val="30"/>
        </w:rPr>
        <w:t>十、机关运行经费支出情况说明</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天津市滨海新区杭州道街社区卫生服务中心2022年度无机关运行经费。</w:t>
      </w:r>
    </w:p>
    <w:p>
      <w:pPr>
        <w:pStyle w:val="3"/>
        <w:keepNext/>
        <w:keepLines/>
        <w:spacing w:line="600" w:lineRule="exact"/>
        <w:ind w:firstLine="602"/>
        <w:jc w:val="both"/>
        <w:rPr>
          <w:rFonts w:ascii="Times New Roman" w:hAnsi="Times New Roman"/>
          <w:b/>
          <w:bCs/>
          <w:sz w:val="30"/>
          <w:szCs w:val="30"/>
        </w:rPr>
      </w:pPr>
      <w:r>
        <w:rPr>
          <w:rFonts w:ascii="Times New Roman" w:hAnsi="Times New Roman"/>
          <w:b/>
          <w:bCs/>
          <w:sz w:val="30"/>
          <w:szCs w:val="30"/>
        </w:rPr>
        <w:t>十一、政府采购支出情况说明</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天津市滨海新区杭州道街社区卫生服务中心2022年政府采购支出总额62,750.00元，其中：政府采购货物支出62,750.00元、政府采购工程支出0.00元、政府采购服务支出0.00元。授予中小企业合同金额62,750.00元，占政府采购支出总额的100.00%，其中：授予小微企业合同金额62,750.00元，占政府采购支出总额的100.00%；货物采购授予中小企业合同金额占货物支出金额的100%，工程采购授予中小企业合同金额占工程支出金额的0%，服务采购授予中小企业合同金额占服务支出金额的0%。</w:t>
      </w:r>
    </w:p>
    <w:p>
      <w:pPr>
        <w:spacing w:line="600" w:lineRule="exact"/>
        <w:ind w:firstLine="602" w:firstLineChars="200"/>
        <w:jc w:val="both"/>
        <w:rPr>
          <w:rFonts w:ascii="Times New Roman" w:hAnsi="Times New Roman"/>
          <w:b/>
          <w:bCs/>
          <w:sz w:val="30"/>
          <w:szCs w:val="30"/>
          <w:lang w:val="zh-CN"/>
        </w:rPr>
      </w:pPr>
    </w:p>
    <w:p>
      <w:pPr>
        <w:spacing w:line="600" w:lineRule="exact"/>
        <w:ind w:firstLine="602" w:firstLineChars="200"/>
        <w:jc w:val="both"/>
        <w:rPr>
          <w:rFonts w:ascii="Times New Roman" w:hAnsi="Times New Roman"/>
          <w:b/>
          <w:bCs/>
          <w:sz w:val="30"/>
          <w:szCs w:val="30"/>
        </w:rPr>
      </w:pPr>
      <w:r>
        <w:rPr>
          <w:rFonts w:ascii="Times New Roman" w:hAnsi="Times New Roman"/>
          <w:b/>
          <w:bCs/>
          <w:sz w:val="30"/>
          <w:szCs w:val="30"/>
          <w:lang w:val="zh-CN"/>
        </w:rPr>
        <w:t>十二、</w:t>
      </w:r>
      <w:r>
        <w:rPr>
          <w:rFonts w:ascii="Times New Roman" w:hAnsi="Times New Roman"/>
          <w:b/>
          <w:bCs/>
          <w:sz w:val="30"/>
          <w:szCs w:val="30"/>
        </w:rPr>
        <w:t>国有资产占有使用情况说明</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截至2022年12月31日，天津市滨海新区杭州道街社区卫生服务中心共有车辆2辆，其中：其他用车2辆，其他用车主要包括2辆救护车。单价100万元以上的设备0台（套）。</w:t>
      </w:r>
    </w:p>
    <w:p>
      <w:pPr>
        <w:spacing w:line="600" w:lineRule="exact"/>
        <w:ind w:firstLine="600"/>
        <w:jc w:val="both"/>
        <w:rPr>
          <w:rFonts w:ascii="Times New Roman" w:hAnsi="Times New Roman"/>
          <w:b/>
          <w:bCs/>
          <w:sz w:val="30"/>
          <w:szCs w:val="30"/>
        </w:rPr>
      </w:pPr>
      <w:r>
        <w:rPr>
          <w:rFonts w:ascii="Times New Roman" w:hAnsi="Times New Roman"/>
          <w:b/>
          <w:bCs/>
          <w:sz w:val="30"/>
          <w:szCs w:val="30"/>
          <w:lang w:val="zh-CN"/>
        </w:rPr>
        <w:t>十三、</w:t>
      </w:r>
      <w:r>
        <w:rPr>
          <w:rFonts w:ascii="Times New Roman" w:hAnsi="Times New Roman"/>
          <w:b/>
          <w:bCs/>
          <w:sz w:val="30"/>
          <w:szCs w:val="30"/>
        </w:rPr>
        <w:t>预算绩效情况说明</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根据预算绩效管理要求，天津市滨海新区杭州道街社区卫生服务中心年度已对12个项目开展绩效自评，涉及金额10,230,651.99元，自评结果已随部门决算一并公开。</w:t>
      </w:r>
    </w:p>
    <w:p>
      <w:pPr>
        <w:spacing w:line="600" w:lineRule="exact"/>
        <w:ind w:firstLine="600"/>
        <w:jc w:val="both"/>
        <w:rPr>
          <w:rFonts w:ascii="Times New Roman" w:hAnsi="Times New Roman"/>
          <w:b/>
          <w:bCs/>
          <w:sz w:val="30"/>
          <w:szCs w:val="30"/>
        </w:rPr>
      </w:pPr>
      <w:r>
        <w:rPr>
          <w:rFonts w:ascii="Times New Roman" w:hAnsi="Times New Roman"/>
          <w:b/>
          <w:bCs/>
          <w:sz w:val="30"/>
          <w:szCs w:val="30"/>
          <w:lang w:val="zh-CN"/>
        </w:rPr>
        <w:t>十四、</w:t>
      </w:r>
      <w:r>
        <w:rPr>
          <w:rFonts w:ascii="Times New Roman" w:hAnsi="Times New Roman"/>
          <w:b/>
          <w:bCs/>
          <w:sz w:val="30"/>
          <w:szCs w:val="30"/>
        </w:rPr>
        <w:t>教育、医疗卫生、社会保障和就业、住房保障、涉农补贴等民生支出情况说明</w:t>
      </w:r>
    </w:p>
    <w:p>
      <w:pPr>
        <w:spacing w:line="580" w:lineRule="exact"/>
        <w:ind w:firstLine="602"/>
        <w:jc w:val="both"/>
        <w:rPr>
          <w:rFonts w:ascii="Times New Roman" w:hAnsi="Times New Roman" w:eastAsia="仿宋_GB2312"/>
          <w:sz w:val="30"/>
        </w:rPr>
      </w:pPr>
      <w:r>
        <w:rPr>
          <w:rFonts w:ascii="Times New Roman" w:hAnsi="Times New Roman" w:eastAsia="仿宋_GB2312"/>
          <w:kern w:val="2"/>
          <w:sz w:val="30"/>
          <w:szCs w:val="30"/>
        </w:rPr>
        <w:t>天津市滨海新区杭州道街社区卫生服务中心</w:t>
      </w:r>
      <w:r>
        <w:rPr>
          <w:rFonts w:ascii="Times New Roman" w:hAnsi="Times New Roman" w:eastAsia="仿宋_GB2312"/>
          <w:sz w:val="30"/>
        </w:rPr>
        <w:t>不属于乡、镇、街级单位，不涉及公开2022年度教育、医疗卫生、社会保障和就业、住房保障、涉农补贴等民生支出情况。</w:t>
      </w:r>
    </w:p>
    <w:p>
      <w:pPr>
        <w:widowControl/>
        <w:autoSpaceDE/>
        <w:autoSpaceDN/>
        <w:adjustRightInd/>
        <w:jc w:val="both"/>
        <w:rPr>
          <w:rFonts w:ascii="Times New Roman" w:hAnsi="Times New Roman" w:eastAsia="方正小标宋简体"/>
          <w:kern w:val="44"/>
          <w:sz w:val="44"/>
          <w:szCs w:val="44"/>
        </w:rPr>
      </w:pPr>
      <w:r>
        <w:rPr>
          <w:rFonts w:ascii="Times New Roman" w:hAnsi="Times New Roman" w:eastAsia="方正小标宋简体"/>
          <w:kern w:val="44"/>
          <w:sz w:val="44"/>
          <w:szCs w:val="44"/>
        </w:rPr>
        <w:br w:type="page"/>
      </w:r>
    </w:p>
    <w:p>
      <w:pPr>
        <w:pStyle w:val="2"/>
        <w:keepNext/>
        <w:keepLines/>
        <w:spacing w:line="600" w:lineRule="exact"/>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第四部分  名词解释</w:t>
      </w:r>
    </w:p>
    <w:p>
      <w:pPr>
        <w:spacing w:line="580" w:lineRule="exact"/>
        <w:ind w:firstLine="600" w:firstLineChars="200"/>
        <w:jc w:val="both"/>
        <w:rPr>
          <w:rFonts w:ascii="Times New Roman" w:hAnsi="Times New Roman" w:eastAsia="仿宋_GB2312"/>
          <w:kern w:val="2"/>
          <w:sz w:val="30"/>
          <w:szCs w:val="30"/>
        </w:rPr>
      </w:pPr>
    </w:p>
    <w:p>
      <w:pPr>
        <w:spacing w:line="580" w:lineRule="exact"/>
        <w:ind w:firstLine="600" w:firstLineChars="200"/>
        <w:jc w:val="both"/>
        <w:rPr>
          <w:rFonts w:ascii="Times New Roman" w:hAnsi="Times New Roman" w:eastAsia="仿宋_GB2312"/>
          <w:kern w:val="2"/>
          <w:sz w:val="30"/>
          <w:szCs w:val="30"/>
        </w:rPr>
      </w:pPr>
      <w:r>
        <w:rPr>
          <w:rFonts w:ascii="Times New Roman" w:hAnsi="Times New Roman" w:eastAsia="仿宋_GB2312"/>
          <w:kern w:val="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580" w:lineRule="exact"/>
        <w:jc w:val="both"/>
        <w:rPr>
          <w:rFonts w:ascii="Times New Roman" w:hAnsi="Times New Roman" w:eastAsia="仿宋_GB2312"/>
          <w:kern w:val="2"/>
          <w:sz w:val="30"/>
          <w:szCs w:val="30"/>
        </w:rPr>
      </w:pPr>
    </w:p>
    <w:sectPr>
      <w:footerReference r:id="rId9"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FBD927EA-3B31-4499-9A25-E05DCD338D5E}"/>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76881DDD-6E5E-42FB-B6CF-E27AC9A2F263}"/>
  </w:font>
  <w:font w:name="仿宋_GB2312">
    <w:panose1 w:val="02010609030101010101"/>
    <w:charset w:val="86"/>
    <w:family w:val="modern"/>
    <w:pitch w:val="default"/>
    <w:sig w:usb0="00000001" w:usb1="080E0000" w:usb2="00000000" w:usb3="00000000" w:csb0="00040000" w:csb1="00000000"/>
    <w:embedRegular r:id="rId3" w:fontKey="{C1C12207-1AB3-4C9B-9CE1-013996FCB08C}"/>
  </w:font>
  <w:font w:name="楷体">
    <w:altName w:val="楷体_GB2312"/>
    <w:panose1 w:val="02010609060101010101"/>
    <w:charset w:val="86"/>
    <w:family w:val="modern"/>
    <w:pitch w:val="default"/>
    <w:sig w:usb0="00000000" w:usb1="00000000" w:usb2="00000016" w:usb3="00000000" w:csb0="00040001" w:csb1="00000000"/>
    <w:embedRegular r:id="rId4" w:fontKey="{3B6866BD-32BD-485B-9EC8-D1FB04304F14}"/>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1566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MzRhZWYzZTFkMGNjOGJlNjBlNzI3ZjUzODhjYmEifQ=="/>
  </w:docVars>
  <w:rsids>
    <w:rsidRoot w:val="00C43CDC"/>
    <w:rsid w:val="00005CB6"/>
    <w:rsid w:val="00014779"/>
    <w:rsid w:val="00016DC7"/>
    <w:rsid w:val="00026F05"/>
    <w:rsid w:val="0004283E"/>
    <w:rsid w:val="0004556B"/>
    <w:rsid w:val="00045764"/>
    <w:rsid w:val="00052B8A"/>
    <w:rsid w:val="00055EA6"/>
    <w:rsid w:val="00066CA9"/>
    <w:rsid w:val="000709E7"/>
    <w:rsid w:val="00096F99"/>
    <w:rsid w:val="000A186A"/>
    <w:rsid w:val="000B1CDC"/>
    <w:rsid w:val="000C5764"/>
    <w:rsid w:val="000F1DD9"/>
    <w:rsid w:val="00193A01"/>
    <w:rsid w:val="00196D05"/>
    <w:rsid w:val="001A332D"/>
    <w:rsid w:val="00222D79"/>
    <w:rsid w:val="00234AFA"/>
    <w:rsid w:val="00290069"/>
    <w:rsid w:val="002E7094"/>
    <w:rsid w:val="002E731B"/>
    <w:rsid w:val="002F050F"/>
    <w:rsid w:val="00306098"/>
    <w:rsid w:val="00307208"/>
    <w:rsid w:val="00310C52"/>
    <w:rsid w:val="00330326"/>
    <w:rsid w:val="00342A45"/>
    <w:rsid w:val="003531C6"/>
    <w:rsid w:val="00374A4F"/>
    <w:rsid w:val="003B17AF"/>
    <w:rsid w:val="003C3EDC"/>
    <w:rsid w:val="003D490A"/>
    <w:rsid w:val="003E65A9"/>
    <w:rsid w:val="003F1C04"/>
    <w:rsid w:val="003F3741"/>
    <w:rsid w:val="003F7C3A"/>
    <w:rsid w:val="00411FA9"/>
    <w:rsid w:val="00447504"/>
    <w:rsid w:val="00495C57"/>
    <w:rsid w:val="004C27F3"/>
    <w:rsid w:val="004C3BBF"/>
    <w:rsid w:val="004C437E"/>
    <w:rsid w:val="004E1E62"/>
    <w:rsid w:val="00512FCA"/>
    <w:rsid w:val="005168E1"/>
    <w:rsid w:val="005222F6"/>
    <w:rsid w:val="005313D2"/>
    <w:rsid w:val="00576865"/>
    <w:rsid w:val="0058739C"/>
    <w:rsid w:val="0059246D"/>
    <w:rsid w:val="005A7518"/>
    <w:rsid w:val="00670A21"/>
    <w:rsid w:val="006A6CF8"/>
    <w:rsid w:val="006C4F06"/>
    <w:rsid w:val="006D1F8C"/>
    <w:rsid w:val="006F7CF2"/>
    <w:rsid w:val="0070055F"/>
    <w:rsid w:val="0075323D"/>
    <w:rsid w:val="00760328"/>
    <w:rsid w:val="00774246"/>
    <w:rsid w:val="007A5EC6"/>
    <w:rsid w:val="007C0637"/>
    <w:rsid w:val="007C096A"/>
    <w:rsid w:val="007C0FF7"/>
    <w:rsid w:val="007C7CE9"/>
    <w:rsid w:val="00873BA9"/>
    <w:rsid w:val="0088590F"/>
    <w:rsid w:val="00893942"/>
    <w:rsid w:val="00894103"/>
    <w:rsid w:val="008A729A"/>
    <w:rsid w:val="008D3E51"/>
    <w:rsid w:val="008F7A00"/>
    <w:rsid w:val="00942B3C"/>
    <w:rsid w:val="009F7198"/>
    <w:rsid w:val="00A178D0"/>
    <w:rsid w:val="00A26488"/>
    <w:rsid w:val="00A36442"/>
    <w:rsid w:val="00AB02FA"/>
    <w:rsid w:val="00AD7FA0"/>
    <w:rsid w:val="00AE0BE0"/>
    <w:rsid w:val="00AF204D"/>
    <w:rsid w:val="00AF6C37"/>
    <w:rsid w:val="00B20A2E"/>
    <w:rsid w:val="00B260D6"/>
    <w:rsid w:val="00B564E1"/>
    <w:rsid w:val="00B83FB0"/>
    <w:rsid w:val="00BA1F03"/>
    <w:rsid w:val="00BA6419"/>
    <w:rsid w:val="00BB7107"/>
    <w:rsid w:val="00BC5382"/>
    <w:rsid w:val="00BD7FC7"/>
    <w:rsid w:val="00BF220E"/>
    <w:rsid w:val="00BF5F30"/>
    <w:rsid w:val="00C02D1A"/>
    <w:rsid w:val="00C37F70"/>
    <w:rsid w:val="00C43CDC"/>
    <w:rsid w:val="00CA4EAB"/>
    <w:rsid w:val="00CD5ED6"/>
    <w:rsid w:val="00CF23E7"/>
    <w:rsid w:val="00D10657"/>
    <w:rsid w:val="00D2515D"/>
    <w:rsid w:val="00D26B31"/>
    <w:rsid w:val="00D45BB9"/>
    <w:rsid w:val="00D54C18"/>
    <w:rsid w:val="00D6376F"/>
    <w:rsid w:val="00D74C65"/>
    <w:rsid w:val="00DB3348"/>
    <w:rsid w:val="00DF2B7B"/>
    <w:rsid w:val="00E52456"/>
    <w:rsid w:val="00E55A8C"/>
    <w:rsid w:val="00E67175"/>
    <w:rsid w:val="00E80E69"/>
    <w:rsid w:val="00E90785"/>
    <w:rsid w:val="00EC0DB1"/>
    <w:rsid w:val="00EE71F7"/>
    <w:rsid w:val="00EF23E1"/>
    <w:rsid w:val="00EF6753"/>
    <w:rsid w:val="00F13222"/>
    <w:rsid w:val="00F770D1"/>
    <w:rsid w:val="00FD78D2"/>
    <w:rsid w:val="00FF6432"/>
    <w:rsid w:val="085B04B6"/>
    <w:rsid w:val="09621E76"/>
    <w:rsid w:val="75892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cs="Times New Roman" w:hAnsiTheme="minorHAnsi"/>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ascii="黑体" w:eastAsia="黑体" w:cs="Times New Roman"/>
      <w:b/>
      <w:bCs/>
      <w:kern w:val="44"/>
      <w:sz w:val="44"/>
      <w:szCs w:val="44"/>
    </w:rPr>
  </w:style>
  <w:style w:type="character" w:customStyle="1" w:styleId="9">
    <w:name w:val="标题 2 字符"/>
    <w:basedOn w:val="7"/>
    <w:link w:val="3"/>
    <w:semiHidden/>
    <w:qFormat/>
    <w:uiPriority w:val="9"/>
    <w:rPr>
      <w:rFonts w:cs="Times New Roman" w:asciiTheme="majorHAnsi" w:hAnsiTheme="majorHAnsi" w:eastAsiaTheme="majorEastAsia"/>
      <w:b/>
      <w:bCs/>
      <w:kern w:val="0"/>
      <w:sz w:val="32"/>
      <w:szCs w:val="32"/>
    </w:rPr>
  </w:style>
  <w:style w:type="character" w:customStyle="1" w:styleId="10">
    <w:name w:val="页眉 字符"/>
    <w:basedOn w:val="7"/>
    <w:link w:val="5"/>
    <w:qFormat/>
    <w:uiPriority w:val="99"/>
    <w:rPr>
      <w:rFonts w:ascii="黑体" w:eastAsia="黑体" w:cs="Times New Roman"/>
      <w:kern w:val="0"/>
      <w:sz w:val="18"/>
      <w:szCs w:val="18"/>
    </w:rPr>
  </w:style>
  <w:style w:type="character" w:customStyle="1" w:styleId="11">
    <w:name w:val="页脚 字符"/>
    <w:basedOn w:val="7"/>
    <w:link w:val="4"/>
    <w:qFormat/>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7C39-C210-4501-9699-B4C5F87479B0}">
  <ds:schemaRefs/>
</ds:datastoreItem>
</file>

<file path=docProps/app.xml><?xml version="1.0" encoding="utf-8"?>
<Properties xmlns="http://schemas.openxmlformats.org/officeDocument/2006/extended-properties" xmlns:vt="http://schemas.openxmlformats.org/officeDocument/2006/docPropsVTypes">
  <Template>Normal</Template>
  <Pages>13</Pages>
  <Words>740</Words>
  <Characters>4223</Characters>
  <Lines>35</Lines>
  <Paragraphs>9</Paragraphs>
  <TotalTime>244</TotalTime>
  <ScaleCrop>false</ScaleCrop>
  <LinksUpToDate>false</LinksUpToDate>
  <CharactersWithSpaces>4954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2023-09-14T06:47:00Z</dcterms:created>
  <dc:creator>翟 媛媛</dc:creator>
  <cp:lastModifiedBy>S.mile</cp:lastModifiedBy>
  <dcterms:modified xsi:type="dcterms:W3CDTF">2023-09-21T06:17:10Z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AAE11A488F124E4EA37629C87F2A3D45_12</vt:lpwstr>
  </property>
</Properties>
</file>